
<file path=[Content_Types].xml><?xml version="1.0" encoding="utf-8"?>
<Types xmlns="http://schemas.openxmlformats.org/package/2006/content-types">
  <Default Extension="json" ContentType="application/vnd.baytech.electronic-signing-metadata+js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baytech.com.au/ooxml/rels/electronic-signing-metadata" Target="baytech/electronic-signing-metadata.json"/><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2E46" w14:textId="77777777" w:rsidR="00BA587B" w:rsidRDefault="00BA587B" w:rsidP="00CF5A69">
      <w:pPr>
        <w:widowControl w:val="0"/>
        <w:spacing w:before="27" w:after="0" w:line="224" w:lineRule="auto"/>
        <w:ind w:left="220" w:right="-188" w:hanging="220"/>
        <w:rPr>
          <w:rFonts w:ascii="Arial" w:eastAsia="Times New Roman" w:hAnsi="Arial" w:cs="Arial"/>
          <w:sz w:val="20"/>
          <w:szCs w:val="20"/>
          <w:lang w:eastAsia="en-AU"/>
        </w:rPr>
      </w:pPr>
    </w:p>
    <w:p w14:paraId="3DF146E8" w14:textId="685EF64E" w:rsidR="006F0D93" w:rsidRPr="00CF5A69" w:rsidRDefault="00591E11" w:rsidP="0099545E">
      <w:pPr>
        <w:widowControl w:val="0"/>
        <w:spacing w:before="27" w:after="0" w:line="224" w:lineRule="auto"/>
        <w:ind w:right="-188"/>
        <w:rPr>
          <w:rFonts w:ascii="Arial" w:eastAsia="Times New Roman" w:hAnsi="Arial" w:cs="Arial"/>
          <w:sz w:val="20"/>
          <w:szCs w:val="20"/>
          <w:lang w:eastAsia="en-AU"/>
        </w:rPr>
      </w:pPr>
      <w:r w:rsidRPr="00CF5A69">
        <w:rPr>
          <w:rFonts w:ascii="Arial" w:eastAsia="Times New Roman" w:hAnsi="Arial" w:cs="Arial"/>
          <w:sz w:val="20"/>
          <w:szCs w:val="20"/>
          <w:lang w:eastAsia="en-AU"/>
        </w:rPr>
        <w:t xml:space="preserve">Department of </w:t>
      </w:r>
      <w:r w:rsidR="00F4052E">
        <w:rPr>
          <w:rFonts w:ascii="Arial" w:eastAsia="Times New Roman" w:hAnsi="Arial" w:cs="Arial"/>
          <w:sz w:val="20"/>
          <w:szCs w:val="20"/>
          <w:lang w:eastAsia="en-AU"/>
        </w:rPr>
        <w:t xml:space="preserve">Women, </w:t>
      </w:r>
      <w:r w:rsidRPr="00CF5A69">
        <w:rPr>
          <w:rFonts w:ascii="Arial" w:eastAsia="Times New Roman" w:hAnsi="Arial" w:cs="Arial"/>
          <w:sz w:val="20"/>
          <w:szCs w:val="20"/>
          <w:lang w:eastAsia="en-AU"/>
        </w:rPr>
        <w:t>Aboriginal and Torres Strait Islander Partnerships</w:t>
      </w:r>
      <w:r w:rsidR="00F4052E">
        <w:rPr>
          <w:rFonts w:ascii="Arial" w:eastAsia="Times New Roman" w:hAnsi="Arial" w:cs="Arial"/>
          <w:sz w:val="20"/>
          <w:szCs w:val="20"/>
          <w:lang w:eastAsia="en-AU"/>
        </w:rPr>
        <w:t xml:space="preserve"> and Multiculturalism</w:t>
      </w:r>
    </w:p>
    <w:p w14:paraId="3E665167" w14:textId="764DAEE9" w:rsidR="006F0D93" w:rsidRDefault="006F0D93" w:rsidP="006F0D93">
      <w:pPr>
        <w:widowControl w:val="0"/>
        <w:spacing w:before="27" w:after="0" w:line="224" w:lineRule="auto"/>
        <w:ind w:left="220" w:right="283"/>
        <w:rPr>
          <w:rFonts w:eastAsia="Times New Roman" w:cstheme="minorHAnsi"/>
          <w:b/>
          <w:bCs/>
          <w:sz w:val="20"/>
          <w:szCs w:val="20"/>
          <w:lang w:eastAsia="en-AU"/>
        </w:rPr>
      </w:pPr>
    </w:p>
    <w:p w14:paraId="1D3C2053" w14:textId="77777777" w:rsidR="006F0D93" w:rsidRPr="006F0D93" w:rsidRDefault="006F0D93" w:rsidP="006F0D93">
      <w:pPr>
        <w:widowControl w:val="0"/>
        <w:spacing w:before="27" w:after="0" w:line="224" w:lineRule="auto"/>
        <w:ind w:left="220" w:right="283"/>
        <w:rPr>
          <w:rFonts w:eastAsia="Times New Roman" w:cstheme="minorHAnsi"/>
          <w:b/>
          <w:bCs/>
          <w:sz w:val="20"/>
          <w:szCs w:val="20"/>
          <w:lang w:eastAsia="en-AU"/>
        </w:rPr>
      </w:pPr>
    </w:p>
    <w:p w14:paraId="06831A62" w14:textId="6944A704" w:rsidR="006F0D93" w:rsidRDefault="006F0D93" w:rsidP="006F0D93">
      <w:pPr>
        <w:widowControl w:val="0"/>
        <w:spacing w:before="27" w:after="0" w:line="224" w:lineRule="auto"/>
        <w:ind w:left="220" w:right="283"/>
        <w:rPr>
          <w:rFonts w:eastAsia="Times New Roman" w:cstheme="minorHAnsi"/>
          <w:lang w:eastAsia="en-AU"/>
        </w:rPr>
      </w:pPr>
    </w:p>
    <w:p w14:paraId="7CA5FBE1" w14:textId="7D0CF775" w:rsidR="006F0D93" w:rsidRPr="00255FE7" w:rsidRDefault="00591E11" w:rsidP="006F0D93">
      <w:pPr>
        <w:spacing w:after="60" w:line="240" w:lineRule="auto"/>
        <w:rPr>
          <w:rFonts w:ascii="Arial Black" w:eastAsia="Times New Roman" w:hAnsi="Arial Black" w:cs="Times New Roman"/>
          <w:b/>
          <w:color w:val="009999"/>
          <w:sz w:val="32"/>
          <w:szCs w:val="32"/>
          <w:lang w:eastAsia="en-AU"/>
        </w:rPr>
      </w:pPr>
      <w:r w:rsidRPr="00255FE7">
        <w:rPr>
          <w:rFonts w:ascii="Arial Black" w:eastAsia="Times New Roman" w:hAnsi="Arial Black" w:cs="Times New Roman"/>
          <w:b/>
          <w:color w:val="009999"/>
          <w:sz w:val="32"/>
          <w:szCs w:val="32"/>
          <w:lang w:eastAsia="en-AU"/>
        </w:rPr>
        <w:t>Customer Complaint Data Report: 202</w:t>
      </w:r>
      <w:r w:rsidR="00F4052E">
        <w:rPr>
          <w:rFonts w:ascii="Arial Black" w:eastAsia="Times New Roman" w:hAnsi="Arial Black" w:cs="Times New Roman"/>
          <w:b/>
          <w:color w:val="009999"/>
          <w:sz w:val="32"/>
          <w:szCs w:val="32"/>
          <w:lang w:eastAsia="en-AU"/>
        </w:rPr>
        <w:t>4</w:t>
      </w:r>
      <w:r w:rsidR="002F766B" w:rsidRPr="002F766B">
        <w:rPr>
          <w:rFonts w:ascii="Arial" w:hAnsi="Arial" w:cs="Arial"/>
          <w:b/>
          <w:bCs/>
          <w:color w:val="009999"/>
          <w:sz w:val="32"/>
          <w:szCs w:val="32"/>
        </w:rPr>
        <w:t>–</w:t>
      </w:r>
      <w:r w:rsidRPr="002F766B">
        <w:rPr>
          <w:rFonts w:ascii="Arial" w:eastAsia="Times New Roman" w:hAnsi="Arial" w:cs="Arial"/>
          <w:b/>
          <w:bCs/>
          <w:color w:val="009999"/>
          <w:sz w:val="32"/>
          <w:szCs w:val="32"/>
          <w:lang w:eastAsia="en-AU"/>
        </w:rPr>
        <w:t>2</w:t>
      </w:r>
      <w:r w:rsidRPr="00255FE7">
        <w:rPr>
          <w:rFonts w:ascii="Arial Black" w:eastAsia="Times New Roman" w:hAnsi="Arial Black" w:cs="Times New Roman"/>
          <w:b/>
          <w:color w:val="009999"/>
          <w:sz w:val="32"/>
          <w:szCs w:val="32"/>
          <w:lang w:eastAsia="en-AU"/>
        </w:rPr>
        <w:t>02</w:t>
      </w:r>
      <w:r w:rsidR="00F4052E">
        <w:rPr>
          <w:rFonts w:ascii="Arial Black" w:eastAsia="Times New Roman" w:hAnsi="Arial Black" w:cs="Times New Roman"/>
          <w:b/>
          <w:color w:val="009999"/>
          <w:sz w:val="32"/>
          <w:szCs w:val="32"/>
          <w:lang w:eastAsia="en-AU"/>
        </w:rPr>
        <w:t>5</w:t>
      </w:r>
    </w:p>
    <w:p w14:paraId="6E141BBE" w14:textId="14793C51" w:rsidR="006F0D93" w:rsidRDefault="006F0D93" w:rsidP="006F0D93">
      <w:pPr>
        <w:widowControl w:val="0"/>
        <w:spacing w:before="27" w:after="0" w:line="224" w:lineRule="auto"/>
        <w:ind w:left="220" w:right="283"/>
        <w:rPr>
          <w:rFonts w:eastAsia="Times New Roman" w:cstheme="minorHAnsi"/>
          <w:lang w:eastAsia="en-AU"/>
        </w:rPr>
      </w:pPr>
    </w:p>
    <w:p w14:paraId="0A0BAAD9" w14:textId="77777777" w:rsidR="006F0D93" w:rsidRDefault="006F0D93" w:rsidP="006F0D93">
      <w:pPr>
        <w:widowControl w:val="0"/>
        <w:spacing w:before="27" w:after="0" w:line="224" w:lineRule="auto"/>
        <w:ind w:left="220" w:right="283"/>
        <w:rPr>
          <w:rFonts w:eastAsia="Times New Roman" w:cstheme="minorHAnsi"/>
          <w:lang w:eastAsia="en-AU"/>
        </w:rPr>
      </w:pPr>
    </w:p>
    <w:p w14:paraId="71F11260" w14:textId="03D53772" w:rsidR="006F0D93" w:rsidRPr="0096792F" w:rsidRDefault="00591E11" w:rsidP="006F0D93">
      <w:pPr>
        <w:widowControl w:val="0"/>
        <w:spacing w:before="27" w:after="0" w:line="224" w:lineRule="auto"/>
        <w:ind w:right="283"/>
        <w:rPr>
          <w:rFonts w:ascii="Arial" w:eastAsia="Calibri" w:hAnsi="Arial" w:cs="Arial"/>
          <w:b/>
          <w:bCs/>
          <w:lang w:val="en-US"/>
        </w:rPr>
      </w:pPr>
      <w:r w:rsidRPr="0096792F">
        <w:rPr>
          <w:rFonts w:ascii="Arial" w:eastAsia="Times New Roman" w:hAnsi="Arial" w:cs="Arial"/>
          <w:lang w:eastAsia="en-AU"/>
        </w:rPr>
        <w:t xml:space="preserve">The Department of </w:t>
      </w:r>
      <w:r w:rsidR="00F4052E">
        <w:rPr>
          <w:rFonts w:ascii="Arial" w:eastAsia="Times New Roman" w:hAnsi="Arial" w:cs="Arial"/>
          <w:lang w:eastAsia="en-AU"/>
        </w:rPr>
        <w:t xml:space="preserve">Women, </w:t>
      </w:r>
      <w:r w:rsidRPr="0096792F">
        <w:rPr>
          <w:rFonts w:ascii="Arial" w:eastAsia="Times New Roman" w:hAnsi="Arial" w:cs="Arial"/>
          <w:lang w:eastAsia="en-AU"/>
        </w:rPr>
        <w:t>Aboriginal and Torres Strait Islander Partnerships</w:t>
      </w:r>
      <w:r w:rsidR="00F4052E">
        <w:rPr>
          <w:rFonts w:ascii="Arial" w:eastAsia="Times New Roman" w:hAnsi="Arial" w:cs="Arial"/>
          <w:lang w:eastAsia="en-AU"/>
        </w:rPr>
        <w:t xml:space="preserve"> and Multiculturalism</w:t>
      </w:r>
      <w:r w:rsidRPr="0096792F">
        <w:rPr>
          <w:rFonts w:ascii="Arial" w:eastAsia="Times New Roman" w:hAnsi="Arial" w:cs="Arial"/>
          <w:lang w:eastAsia="en-AU"/>
        </w:rPr>
        <w:t xml:space="preserve"> is required to report annually on customer complaints to ensure compliance with section </w:t>
      </w:r>
      <w:r w:rsidR="00CF5A69" w:rsidRPr="0096792F">
        <w:rPr>
          <w:rFonts w:ascii="Arial" w:hAnsi="Arial" w:cs="Arial"/>
          <w:color w:val="000000" w:themeColor="text1"/>
        </w:rPr>
        <w:t xml:space="preserve">264(3) of the </w:t>
      </w:r>
      <w:r w:rsidR="00CF5A69" w:rsidRPr="0096792F">
        <w:rPr>
          <w:rFonts w:ascii="Arial" w:hAnsi="Arial" w:cs="Arial"/>
          <w:i/>
          <w:color w:val="000000" w:themeColor="text1"/>
        </w:rPr>
        <w:t>Public Sector Act 2022</w:t>
      </w:r>
      <w:r w:rsidRPr="0096792F">
        <w:rPr>
          <w:rFonts w:ascii="Arial" w:eastAsia="Times New Roman" w:hAnsi="Arial" w:cs="Arial"/>
          <w:i/>
          <w:iCs/>
          <w:lang w:eastAsia="en-AU"/>
        </w:rPr>
        <w:t xml:space="preserve"> </w:t>
      </w:r>
      <w:r w:rsidRPr="0096792F">
        <w:rPr>
          <w:rFonts w:ascii="Arial" w:eastAsia="Times New Roman" w:hAnsi="Arial" w:cs="Arial"/>
          <w:lang w:eastAsia="en-AU"/>
        </w:rPr>
        <w:t>(Qld).</w:t>
      </w:r>
    </w:p>
    <w:p w14:paraId="485AEBCE" w14:textId="77777777" w:rsidR="006F0D93" w:rsidRPr="0096792F" w:rsidRDefault="006F0D93" w:rsidP="006F0D93">
      <w:pPr>
        <w:widowControl w:val="0"/>
        <w:spacing w:before="27" w:after="0" w:line="224" w:lineRule="auto"/>
        <w:ind w:left="220" w:right="283"/>
        <w:rPr>
          <w:rFonts w:ascii="Arial" w:eastAsia="Calibri" w:hAnsi="Arial" w:cs="Arial"/>
          <w:b/>
          <w:bCs/>
          <w:lang w:val="en-US"/>
        </w:rPr>
      </w:pPr>
    </w:p>
    <w:p w14:paraId="63150C49" w14:textId="77777777" w:rsidR="006F0D93" w:rsidRPr="0096792F" w:rsidRDefault="006F0D93" w:rsidP="006F0D93">
      <w:pPr>
        <w:widowControl w:val="0"/>
        <w:spacing w:before="27" w:after="0" w:line="224" w:lineRule="auto"/>
        <w:ind w:left="220" w:right="283"/>
        <w:rPr>
          <w:rFonts w:ascii="Arial" w:eastAsia="Calibri" w:hAnsi="Arial" w:cs="Arial"/>
          <w:b/>
          <w:bCs/>
          <w:color w:val="2E74B5" w:themeColor="accent5" w:themeShade="BF"/>
          <w:lang w:val="en-US"/>
        </w:rPr>
      </w:pPr>
    </w:p>
    <w:p w14:paraId="39852D2E" w14:textId="5ACBE356" w:rsidR="006F0D93" w:rsidRPr="0096792F" w:rsidRDefault="00591E11" w:rsidP="006F0D93">
      <w:pPr>
        <w:widowControl w:val="0"/>
        <w:spacing w:before="27" w:after="0" w:line="224" w:lineRule="auto"/>
        <w:ind w:left="220" w:right="283" w:hanging="220"/>
        <w:rPr>
          <w:rFonts w:ascii="Arial" w:eastAsia="Calibri" w:hAnsi="Arial" w:cs="Arial"/>
          <w:b/>
          <w:bCs/>
          <w:lang w:val="en-US"/>
        </w:rPr>
      </w:pPr>
      <w:r w:rsidRPr="0096792F">
        <w:rPr>
          <w:rFonts w:ascii="Arial" w:eastAsia="Calibri" w:hAnsi="Arial" w:cs="Arial"/>
          <w:b/>
          <w:bCs/>
          <w:lang w:val="en-US"/>
        </w:rPr>
        <w:t>Customer complaints</w:t>
      </w:r>
      <w:r w:rsidR="00E12276" w:rsidRPr="0096792F">
        <w:rPr>
          <w:rFonts w:ascii="Arial" w:eastAsia="Times New Roman" w:hAnsi="Arial" w:cs="Arial"/>
          <w:b/>
          <w:bCs/>
          <w:color w:val="000000" w:themeColor="text1"/>
          <w:spacing w:val="-1"/>
          <w:vertAlign w:val="superscript"/>
          <w:lang w:val="en-US" w:eastAsia="en-AU"/>
        </w:rPr>
        <w:t>1</w:t>
      </w:r>
      <w:r w:rsidRPr="0096792F">
        <w:rPr>
          <w:rFonts w:ascii="Arial" w:eastAsia="Calibri" w:hAnsi="Arial" w:cs="Arial"/>
          <w:b/>
          <w:bCs/>
          <w:color w:val="000000" w:themeColor="text1"/>
          <w:lang w:val="en-US"/>
        </w:rPr>
        <w:t xml:space="preserve"> </w:t>
      </w:r>
      <w:r w:rsidRPr="0096792F">
        <w:rPr>
          <w:rFonts w:ascii="Arial" w:eastAsia="Calibri" w:hAnsi="Arial" w:cs="Arial"/>
          <w:b/>
          <w:bCs/>
          <w:lang w:val="en-US"/>
        </w:rPr>
        <w:t>received between 1 July 202</w:t>
      </w:r>
      <w:r w:rsidR="00F4052E">
        <w:rPr>
          <w:rFonts w:ascii="Arial" w:eastAsia="Calibri" w:hAnsi="Arial" w:cs="Arial"/>
          <w:b/>
          <w:bCs/>
          <w:lang w:val="en-US"/>
        </w:rPr>
        <w:t>4</w:t>
      </w:r>
      <w:r w:rsidRPr="0096792F">
        <w:rPr>
          <w:rFonts w:ascii="Arial" w:eastAsia="Calibri" w:hAnsi="Arial" w:cs="Arial"/>
          <w:b/>
          <w:bCs/>
          <w:lang w:val="en-US"/>
        </w:rPr>
        <w:t xml:space="preserve"> and 30 June 202</w:t>
      </w:r>
      <w:r w:rsidR="00F4052E">
        <w:rPr>
          <w:rFonts w:ascii="Arial" w:eastAsia="Calibri" w:hAnsi="Arial" w:cs="Arial"/>
          <w:b/>
          <w:bCs/>
          <w:lang w:val="en-US"/>
        </w:rPr>
        <w:t>5</w:t>
      </w:r>
    </w:p>
    <w:p w14:paraId="4522FD53" w14:textId="77777777" w:rsidR="006F0D93" w:rsidRPr="00CF5A69" w:rsidRDefault="006F0D93" w:rsidP="006F0D93">
      <w:pPr>
        <w:widowControl w:val="0"/>
        <w:spacing w:before="27" w:after="0" w:line="224" w:lineRule="auto"/>
        <w:ind w:left="220" w:right="283"/>
        <w:rPr>
          <w:rFonts w:ascii="Arial" w:eastAsia="Calibri" w:hAnsi="Arial" w:cs="Arial"/>
          <w:b/>
          <w:bCs/>
          <w:sz w:val="28"/>
          <w:szCs w:val="28"/>
          <w:lang w:val="en-US"/>
        </w:rPr>
      </w:pPr>
    </w:p>
    <w:tbl>
      <w:tblPr>
        <w:tblStyle w:val="TableGrid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1861"/>
        <w:gridCol w:w="1933"/>
        <w:gridCol w:w="1661"/>
        <w:gridCol w:w="1842"/>
      </w:tblGrid>
      <w:tr w:rsidR="00F4052E" w14:paraId="10ADD0AA" w14:textId="59FFFF5F" w:rsidTr="00F4052E">
        <w:tc>
          <w:tcPr>
            <w:tcW w:w="2201" w:type="dxa"/>
          </w:tcPr>
          <w:p w14:paraId="6A5D3B28" w14:textId="77777777" w:rsidR="00F4052E" w:rsidRPr="00CF5A69" w:rsidRDefault="00F4052E" w:rsidP="00904996">
            <w:pPr>
              <w:spacing w:line="267" w:lineRule="exact"/>
              <w:ind w:left="660"/>
              <w:jc w:val="center"/>
              <w:rPr>
                <w:rFonts w:ascii="Arial" w:eastAsia="Times New Roman" w:hAnsi="Arial" w:cs="Arial"/>
                <w:b/>
                <w:bCs/>
                <w:color w:val="30849B"/>
                <w:spacing w:val="-1"/>
                <w:sz w:val="20"/>
                <w:szCs w:val="20"/>
                <w:lang w:eastAsia="en-AU"/>
              </w:rPr>
            </w:pPr>
            <w:r w:rsidRPr="00CF5A69">
              <w:rPr>
                <w:rFonts w:ascii="Arial" w:eastAsia="Times New Roman" w:hAnsi="Arial" w:cs="Arial"/>
                <w:b/>
                <w:bCs/>
                <w:color w:val="30849B"/>
                <w:spacing w:val="-1"/>
                <w:sz w:val="20"/>
                <w:szCs w:val="20"/>
                <w:lang w:eastAsia="en-AU"/>
              </w:rPr>
              <w:t>Total number of complaints received</w:t>
            </w:r>
          </w:p>
        </w:tc>
        <w:tc>
          <w:tcPr>
            <w:tcW w:w="1861" w:type="dxa"/>
          </w:tcPr>
          <w:p w14:paraId="15B35DDA" w14:textId="50FAC566" w:rsidR="00F4052E" w:rsidRPr="00CF5A69" w:rsidRDefault="00F4052E" w:rsidP="00904996">
            <w:pPr>
              <w:spacing w:line="267" w:lineRule="exact"/>
              <w:ind w:left="108"/>
              <w:jc w:val="center"/>
              <w:rPr>
                <w:rFonts w:ascii="Arial" w:eastAsia="Times New Roman" w:hAnsi="Arial" w:cs="Arial"/>
                <w:b/>
                <w:bCs/>
                <w:color w:val="30849B"/>
                <w:spacing w:val="-1"/>
                <w:sz w:val="20"/>
                <w:szCs w:val="20"/>
                <w:vertAlign w:val="superscript"/>
                <w:lang w:eastAsia="en-AU"/>
              </w:rPr>
            </w:pPr>
            <w:r w:rsidRPr="00CF5A69">
              <w:rPr>
                <w:rFonts w:ascii="Arial" w:eastAsia="Times New Roman" w:hAnsi="Arial" w:cs="Arial"/>
                <w:b/>
                <w:bCs/>
                <w:color w:val="30849B"/>
                <w:spacing w:val="-1"/>
                <w:sz w:val="20"/>
                <w:szCs w:val="20"/>
                <w:lang w:eastAsia="en-AU"/>
              </w:rPr>
              <w:t>Total number of complaints resulting in further action</w:t>
            </w:r>
            <w:r w:rsidRPr="000B34C7">
              <w:rPr>
                <w:rFonts w:ascii="Arial" w:eastAsia="Times New Roman" w:hAnsi="Arial" w:cs="Arial"/>
                <w:b/>
                <w:bCs/>
                <w:color w:val="30849B"/>
                <w:spacing w:val="-1"/>
                <w:sz w:val="20"/>
                <w:szCs w:val="20"/>
                <w:vertAlign w:val="superscript"/>
                <w:lang w:eastAsia="en-AU"/>
              </w:rPr>
              <w:t>2</w:t>
            </w:r>
          </w:p>
        </w:tc>
        <w:tc>
          <w:tcPr>
            <w:tcW w:w="1933" w:type="dxa"/>
          </w:tcPr>
          <w:p w14:paraId="52F4064E" w14:textId="53BCA403" w:rsidR="00F4052E" w:rsidRPr="00CF5A69" w:rsidRDefault="00F4052E" w:rsidP="00904996">
            <w:pPr>
              <w:spacing w:line="267" w:lineRule="exact"/>
              <w:ind w:left="108"/>
              <w:jc w:val="center"/>
              <w:rPr>
                <w:rFonts w:ascii="Arial" w:eastAsia="Times New Roman" w:hAnsi="Arial" w:cs="Arial"/>
                <w:b/>
                <w:bCs/>
                <w:color w:val="30849B"/>
                <w:spacing w:val="-1"/>
                <w:sz w:val="20"/>
                <w:szCs w:val="20"/>
                <w:lang w:eastAsia="en-AU"/>
              </w:rPr>
            </w:pPr>
            <w:r w:rsidRPr="00CF5A69">
              <w:rPr>
                <w:rFonts w:ascii="Arial" w:eastAsia="Times New Roman" w:hAnsi="Arial" w:cs="Arial"/>
                <w:b/>
                <w:bCs/>
                <w:color w:val="30849B"/>
                <w:spacing w:val="-1"/>
                <w:sz w:val="20"/>
                <w:szCs w:val="20"/>
                <w:lang w:eastAsia="en-AU"/>
              </w:rPr>
              <w:t xml:space="preserve">Total number of complaints resulting in </w:t>
            </w:r>
            <w:r w:rsidRPr="00BD2E45">
              <w:rPr>
                <w:rFonts w:ascii="Arial" w:eastAsia="Times New Roman" w:hAnsi="Arial" w:cs="Arial"/>
                <w:b/>
                <w:bCs/>
                <w:color w:val="30849B"/>
                <w:spacing w:val="-1"/>
                <w:sz w:val="20"/>
                <w:szCs w:val="20"/>
                <w:lang w:eastAsia="en-AU"/>
              </w:rPr>
              <w:t>no</w:t>
            </w:r>
            <w:r w:rsidRPr="00CF5A69">
              <w:rPr>
                <w:rFonts w:ascii="Arial" w:eastAsia="Times New Roman" w:hAnsi="Arial" w:cs="Arial"/>
                <w:b/>
                <w:bCs/>
                <w:color w:val="30849B"/>
                <w:spacing w:val="-1"/>
                <w:sz w:val="20"/>
                <w:szCs w:val="20"/>
                <w:lang w:eastAsia="en-AU"/>
              </w:rPr>
              <w:t xml:space="preserve"> further action</w:t>
            </w:r>
            <w:r w:rsidRPr="001E0806">
              <w:rPr>
                <w:rFonts w:ascii="Arial" w:eastAsia="Times New Roman" w:hAnsi="Arial" w:cs="Arial"/>
                <w:b/>
                <w:bCs/>
                <w:color w:val="30849B"/>
                <w:spacing w:val="-1"/>
                <w:sz w:val="20"/>
                <w:szCs w:val="20"/>
                <w:vertAlign w:val="superscript"/>
                <w:lang w:eastAsia="en-AU"/>
              </w:rPr>
              <w:t>3</w:t>
            </w:r>
          </w:p>
          <w:p w14:paraId="1D243263" w14:textId="7359B14F" w:rsidR="00F4052E" w:rsidRPr="00CF5A69" w:rsidRDefault="00F4052E" w:rsidP="00904996">
            <w:pPr>
              <w:spacing w:line="267" w:lineRule="exact"/>
              <w:ind w:left="108"/>
              <w:jc w:val="center"/>
              <w:rPr>
                <w:rFonts w:ascii="Arial" w:eastAsia="Times New Roman" w:hAnsi="Arial" w:cs="Arial"/>
                <w:b/>
                <w:bCs/>
                <w:color w:val="30849B"/>
                <w:spacing w:val="-1"/>
                <w:sz w:val="20"/>
                <w:szCs w:val="20"/>
                <w:lang w:eastAsia="en-AU"/>
              </w:rPr>
            </w:pPr>
          </w:p>
        </w:tc>
        <w:tc>
          <w:tcPr>
            <w:tcW w:w="1661" w:type="dxa"/>
            <w:shd w:val="clear" w:color="auto" w:fill="auto"/>
          </w:tcPr>
          <w:p w14:paraId="103E6188" w14:textId="77777777" w:rsidR="00F4052E" w:rsidRDefault="00F4052E" w:rsidP="00724902">
            <w:pPr>
              <w:spacing w:line="267" w:lineRule="exact"/>
              <w:ind w:left="108"/>
              <w:jc w:val="center"/>
              <w:rPr>
                <w:rFonts w:ascii="Arial" w:eastAsia="Times New Roman" w:hAnsi="Arial" w:cs="Arial"/>
                <w:b/>
                <w:bCs/>
                <w:color w:val="30849B"/>
                <w:spacing w:val="-1"/>
                <w:sz w:val="20"/>
                <w:szCs w:val="20"/>
                <w:vertAlign w:val="superscript"/>
                <w:lang w:eastAsia="en-AU"/>
              </w:rPr>
            </w:pPr>
            <w:r w:rsidRPr="00BE6FDB">
              <w:rPr>
                <w:rFonts w:ascii="Arial" w:eastAsia="Times New Roman" w:hAnsi="Arial" w:cs="Arial"/>
                <w:b/>
                <w:bCs/>
                <w:color w:val="30849B"/>
                <w:spacing w:val="-1"/>
                <w:sz w:val="20"/>
                <w:szCs w:val="20"/>
                <w:lang w:eastAsia="en-AU"/>
              </w:rPr>
              <w:t>Total number of complaints that engaged human rights</w:t>
            </w:r>
            <w:r w:rsidRPr="00BE6FDB">
              <w:rPr>
                <w:rFonts w:ascii="Arial" w:eastAsia="Times New Roman" w:hAnsi="Arial" w:cs="Arial"/>
                <w:b/>
                <w:bCs/>
                <w:color w:val="30849B"/>
                <w:spacing w:val="-1"/>
                <w:sz w:val="20"/>
                <w:szCs w:val="20"/>
                <w:vertAlign w:val="superscript"/>
                <w:lang w:eastAsia="en-AU"/>
              </w:rPr>
              <w:t>4</w:t>
            </w:r>
          </w:p>
          <w:p w14:paraId="3648423D" w14:textId="7B94AE30" w:rsidR="00F4052E" w:rsidRPr="00BE6FDB" w:rsidRDefault="00F4052E" w:rsidP="00724902">
            <w:pPr>
              <w:spacing w:line="267" w:lineRule="exact"/>
              <w:ind w:left="108"/>
              <w:jc w:val="center"/>
              <w:rPr>
                <w:rFonts w:ascii="Arial" w:eastAsia="Times New Roman" w:hAnsi="Arial" w:cs="Arial"/>
                <w:b/>
                <w:bCs/>
                <w:color w:val="30849B"/>
                <w:spacing w:val="-1"/>
                <w:sz w:val="20"/>
                <w:szCs w:val="20"/>
                <w:lang w:eastAsia="en-AU"/>
              </w:rPr>
            </w:pPr>
          </w:p>
        </w:tc>
        <w:tc>
          <w:tcPr>
            <w:tcW w:w="1842" w:type="dxa"/>
          </w:tcPr>
          <w:p w14:paraId="0876E7F4" w14:textId="77777777" w:rsidR="00F4052E" w:rsidRDefault="00F4052E" w:rsidP="00724902">
            <w:pPr>
              <w:spacing w:line="267" w:lineRule="exact"/>
              <w:ind w:left="108"/>
              <w:jc w:val="center"/>
              <w:rPr>
                <w:rFonts w:ascii="Arial" w:eastAsia="Times New Roman" w:hAnsi="Arial" w:cs="Arial"/>
                <w:b/>
                <w:bCs/>
                <w:color w:val="30849B"/>
                <w:spacing w:val="-1"/>
                <w:sz w:val="20"/>
                <w:szCs w:val="20"/>
                <w:lang w:eastAsia="en-AU"/>
              </w:rPr>
            </w:pPr>
            <w:r>
              <w:rPr>
                <w:rFonts w:ascii="Arial" w:eastAsia="Times New Roman" w:hAnsi="Arial" w:cs="Arial"/>
                <w:b/>
                <w:bCs/>
                <w:color w:val="30849B"/>
                <w:spacing w:val="-1"/>
                <w:sz w:val="20"/>
                <w:szCs w:val="20"/>
                <w:lang w:eastAsia="en-AU"/>
              </w:rPr>
              <w:t>Total number of complaints identified as Charter of Victims’ Rights complaints</w:t>
            </w:r>
            <w:r>
              <w:rPr>
                <w:rFonts w:ascii="Arial" w:eastAsia="Times New Roman" w:hAnsi="Arial" w:cs="Arial"/>
                <w:b/>
                <w:bCs/>
                <w:color w:val="30849B"/>
                <w:spacing w:val="-1"/>
                <w:sz w:val="20"/>
                <w:szCs w:val="20"/>
                <w:vertAlign w:val="superscript"/>
                <w:lang w:eastAsia="en-AU"/>
              </w:rPr>
              <w:t>5</w:t>
            </w:r>
            <w:r>
              <w:rPr>
                <w:rFonts w:ascii="Arial" w:eastAsia="Times New Roman" w:hAnsi="Arial" w:cs="Arial"/>
                <w:b/>
                <w:bCs/>
                <w:color w:val="30849B"/>
                <w:spacing w:val="-1"/>
                <w:sz w:val="20"/>
                <w:szCs w:val="20"/>
                <w:lang w:eastAsia="en-AU"/>
              </w:rPr>
              <w:t xml:space="preserve"> </w:t>
            </w:r>
          </w:p>
          <w:p w14:paraId="4CF4D885" w14:textId="6C7F2058" w:rsidR="00430DCA" w:rsidRPr="00BE6FDB" w:rsidRDefault="00430DCA" w:rsidP="00724902">
            <w:pPr>
              <w:spacing w:line="267" w:lineRule="exact"/>
              <w:ind w:left="108"/>
              <w:jc w:val="center"/>
              <w:rPr>
                <w:rFonts w:ascii="Arial" w:eastAsia="Times New Roman" w:hAnsi="Arial" w:cs="Arial"/>
                <w:b/>
                <w:bCs/>
                <w:color w:val="30849B"/>
                <w:spacing w:val="-1"/>
                <w:sz w:val="20"/>
                <w:szCs w:val="20"/>
                <w:lang w:eastAsia="en-AU"/>
              </w:rPr>
            </w:pPr>
          </w:p>
        </w:tc>
      </w:tr>
      <w:tr w:rsidR="00F4052E" w14:paraId="79013EBA" w14:textId="60F37EB5" w:rsidTr="00F4052E">
        <w:trPr>
          <w:trHeight w:val="43"/>
        </w:trPr>
        <w:tc>
          <w:tcPr>
            <w:tcW w:w="2201" w:type="dxa"/>
            <w:shd w:val="clear" w:color="auto" w:fill="DBE5F1"/>
          </w:tcPr>
          <w:p w14:paraId="772AD548" w14:textId="085244C9" w:rsidR="00F4052E" w:rsidRPr="00CF5A69" w:rsidRDefault="00CA05F7" w:rsidP="00904996">
            <w:pPr>
              <w:spacing w:line="267" w:lineRule="exact"/>
              <w:ind w:left="523"/>
              <w:jc w:val="center"/>
              <w:rPr>
                <w:rFonts w:ascii="Arial" w:eastAsia="Times New Roman" w:hAnsi="Arial" w:cs="Arial"/>
                <w:b/>
                <w:bCs/>
                <w:spacing w:val="-1"/>
                <w:sz w:val="20"/>
                <w:szCs w:val="20"/>
                <w:lang w:eastAsia="en-AU"/>
              </w:rPr>
            </w:pPr>
            <w:r>
              <w:rPr>
                <w:rFonts w:ascii="Arial" w:eastAsia="Times New Roman" w:hAnsi="Arial" w:cs="Arial"/>
                <w:b/>
                <w:bCs/>
                <w:spacing w:val="-1"/>
                <w:sz w:val="20"/>
                <w:szCs w:val="20"/>
                <w:lang w:eastAsia="en-AU"/>
              </w:rPr>
              <w:t>5</w:t>
            </w:r>
          </w:p>
        </w:tc>
        <w:tc>
          <w:tcPr>
            <w:tcW w:w="1861" w:type="dxa"/>
            <w:shd w:val="clear" w:color="auto" w:fill="DBE5F1"/>
          </w:tcPr>
          <w:p w14:paraId="41452EF5" w14:textId="7FA3C905" w:rsidR="00F4052E" w:rsidRPr="00CF5A69" w:rsidRDefault="00CA05F7" w:rsidP="00904996">
            <w:pPr>
              <w:spacing w:line="267" w:lineRule="exact"/>
              <w:ind w:left="108"/>
              <w:jc w:val="center"/>
              <w:rPr>
                <w:rFonts w:ascii="Arial" w:eastAsia="Times New Roman" w:hAnsi="Arial" w:cs="Arial"/>
                <w:b/>
                <w:bCs/>
                <w:spacing w:val="-1"/>
                <w:sz w:val="20"/>
                <w:szCs w:val="20"/>
                <w:lang w:eastAsia="en-AU"/>
              </w:rPr>
            </w:pPr>
            <w:r>
              <w:rPr>
                <w:rFonts w:ascii="Arial" w:eastAsia="Times New Roman" w:hAnsi="Arial" w:cs="Arial"/>
                <w:b/>
                <w:bCs/>
                <w:spacing w:val="-1"/>
                <w:sz w:val="20"/>
                <w:szCs w:val="20"/>
                <w:lang w:eastAsia="en-AU"/>
              </w:rPr>
              <w:t>0</w:t>
            </w:r>
          </w:p>
        </w:tc>
        <w:tc>
          <w:tcPr>
            <w:tcW w:w="1933" w:type="dxa"/>
            <w:shd w:val="clear" w:color="auto" w:fill="DBE5F1"/>
          </w:tcPr>
          <w:p w14:paraId="162733F7" w14:textId="0806F6F2" w:rsidR="00F4052E" w:rsidRPr="00CF5A69" w:rsidRDefault="00CA05F7" w:rsidP="00E8415E">
            <w:pPr>
              <w:spacing w:line="267" w:lineRule="exact"/>
              <w:ind w:left="108"/>
              <w:jc w:val="center"/>
              <w:rPr>
                <w:rFonts w:ascii="Arial" w:eastAsia="Times New Roman" w:hAnsi="Arial" w:cs="Arial"/>
                <w:b/>
                <w:bCs/>
                <w:spacing w:val="-1"/>
                <w:sz w:val="20"/>
                <w:szCs w:val="20"/>
                <w:lang w:eastAsia="en-AU"/>
              </w:rPr>
            </w:pPr>
            <w:r>
              <w:rPr>
                <w:rFonts w:ascii="Arial" w:eastAsia="Times New Roman" w:hAnsi="Arial" w:cs="Arial"/>
                <w:b/>
                <w:bCs/>
                <w:spacing w:val="-1"/>
                <w:sz w:val="20"/>
                <w:szCs w:val="20"/>
                <w:lang w:eastAsia="en-AU"/>
              </w:rPr>
              <w:t>5</w:t>
            </w:r>
          </w:p>
        </w:tc>
        <w:tc>
          <w:tcPr>
            <w:tcW w:w="1661" w:type="dxa"/>
            <w:shd w:val="clear" w:color="auto" w:fill="DEEAF6" w:themeFill="accent5" w:themeFillTint="33"/>
          </w:tcPr>
          <w:p w14:paraId="7D9D939C" w14:textId="1099780C" w:rsidR="00F4052E" w:rsidRPr="00BE6FDB" w:rsidRDefault="00CA05F7" w:rsidP="00E8415E">
            <w:pPr>
              <w:spacing w:line="267" w:lineRule="exact"/>
              <w:ind w:left="108"/>
              <w:jc w:val="center"/>
              <w:rPr>
                <w:rFonts w:ascii="Arial" w:eastAsia="Times New Roman" w:hAnsi="Arial" w:cs="Arial"/>
                <w:b/>
                <w:bCs/>
                <w:spacing w:val="-1"/>
                <w:sz w:val="20"/>
                <w:szCs w:val="20"/>
                <w:lang w:eastAsia="en-AU"/>
              </w:rPr>
            </w:pPr>
            <w:r>
              <w:rPr>
                <w:rFonts w:ascii="Arial" w:eastAsia="Times New Roman" w:hAnsi="Arial" w:cs="Arial"/>
                <w:b/>
                <w:bCs/>
                <w:spacing w:val="-1"/>
                <w:sz w:val="20"/>
                <w:szCs w:val="20"/>
                <w:lang w:eastAsia="en-AU"/>
              </w:rPr>
              <w:t>0</w:t>
            </w:r>
          </w:p>
        </w:tc>
        <w:tc>
          <w:tcPr>
            <w:tcW w:w="1842" w:type="dxa"/>
            <w:shd w:val="clear" w:color="auto" w:fill="DEEAF6" w:themeFill="accent5" w:themeFillTint="33"/>
          </w:tcPr>
          <w:p w14:paraId="0F8D2979" w14:textId="7BEE2721" w:rsidR="00F4052E" w:rsidRDefault="00CA05F7" w:rsidP="00E8415E">
            <w:pPr>
              <w:spacing w:line="267" w:lineRule="exact"/>
              <w:ind w:left="108"/>
              <w:jc w:val="center"/>
              <w:rPr>
                <w:rFonts w:ascii="Arial" w:eastAsia="Times New Roman" w:hAnsi="Arial" w:cs="Arial"/>
                <w:b/>
                <w:bCs/>
                <w:spacing w:val="-1"/>
                <w:sz w:val="20"/>
                <w:szCs w:val="20"/>
                <w:lang w:eastAsia="en-AU"/>
              </w:rPr>
            </w:pPr>
            <w:r>
              <w:rPr>
                <w:rFonts w:ascii="Arial" w:eastAsia="Times New Roman" w:hAnsi="Arial" w:cs="Arial"/>
                <w:b/>
                <w:bCs/>
                <w:spacing w:val="-1"/>
                <w:sz w:val="20"/>
                <w:szCs w:val="20"/>
                <w:lang w:eastAsia="en-AU"/>
              </w:rPr>
              <w:t>0</w:t>
            </w:r>
          </w:p>
          <w:p w14:paraId="7850D0AC" w14:textId="38E2AB0D" w:rsidR="00F4052E" w:rsidRPr="00BE6FDB" w:rsidRDefault="00F4052E" w:rsidP="00E8415E">
            <w:pPr>
              <w:spacing w:line="267" w:lineRule="exact"/>
              <w:ind w:left="108"/>
              <w:jc w:val="center"/>
              <w:rPr>
                <w:rFonts w:ascii="Arial" w:eastAsia="Times New Roman" w:hAnsi="Arial" w:cs="Arial"/>
                <w:b/>
                <w:bCs/>
                <w:spacing w:val="-1"/>
                <w:sz w:val="20"/>
                <w:szCs w:val="20"/>
                <w:lang w:eastAsia="en-AU"/>
              </w:rPr>
            </w:pPr>
          </w:p>
        </w:tc>
      </w:tr>
    </w:tbl>
    <w:p w14:paraId="3FD06805" w14:textId="77777777" w:rsidR="006F0D93" w:rsidRPr="00CF5A69" w:rsidRDefault="006F0D93" w:rsidP="006F0D93">
      <w:pPr>
        <w:widowControl w:val="0"/>
        <w:spacing w:before="27" w:after="0" w:line="224" w:lineRule="auto"/>
        <w:ind w:left="220" w:right="283"/>
        <w:jc w:val="center"/>
        <w:rPr>
          <w:rFonts w:ascii="Arial" w:eastAsia="Calibri" w:hAnsi="Arial" w:cs="Arial"/>
          <w:sz w:val="28"/>
          <w:szCs w:val="28"/>
          <w:lang w:val="en-US"/>
        </w:rPr>
      </w:pPr>
    </w:p>
    <w:p w14:paraId="0494EBEE" w14:textId="7E439E9D" w:rsidR="006F0D93" w:rsidRDefault="00591E11" w:rsidP="00CA05F7">
      <w:pPr>
        <w:widowControl w:val="0"/>
        <w:spacing w:after="0" w:line="240" w:lineRule="auto"/>
        <w:ind w:right="-46"/>
        <w:rPr>
          <w:rFonts w:ascii="Arial" w:eastAsia="Calibri" w:hAnsi="Arial" w:cs="Arial"/>
          <w:sz w:val="18"/>
          <w:szCs w:val="18"/>
          <w:lang w:val="en-US"/>
        </w:rPr>
      </w:pPr>
      <w:r w:rsidRPr="00366A48">
        <w:rPr>
          <w:rFonts w:ascii="Arial" w:eastAsia="Calibri" w:hAnsi="Arial" w:cs="Arial"/>
          <w:spacing w:val="-1"/>
          <w:sz w:val="18"/>
          <w:szCs w:val="18"/>
          <w:lang w:val="en-US"/>
        </w:rPr>
        <w:t>N</w:t>
      </w:r>
      <w:r w:rsidRPr="00366A48">
        <w:rPr>
          <w:rFonts w:ascii="Arial" w:eastAsia="Calibri" w:hAnsi="Arial" w:cs="Arial"/>
          <w:spacing w:val="1"/>
          <w:sz w:val="18"/>
          <w:szCs w:val="18"/>
          <w:lang w:val="en-US"/>
        </w:rPr>
        <w:t>o</w:t>
      </w:r>
      <w:r w:rsidRPr="00366A48">
        <w:rPr>
          <w:rFonts w:ascii="Arial" w:eastAsia="Calibri" w:hAnsi="Arial" w:cs="Arial"/>
          <w:sz w:val="18"/>
          <w:szCs w:val="18"/>
          <w:lang w:val="en-US"/>
        </w:rPr>
        <w:t>te</w:t>
      </w:r>
      <w:r w:rsidR="00BA587B" w:rsidRPr="00366A48">
        <w:rPr>
          <w:rFonts w:ascii="Arial" w:eastAsia="Calibri" w:hAnsi="Arial" w:cs="Arial"/>
          <w:sz w:val="18"/>
          <w:szCs w:val="18"/>
          <w:lang w:val="en-US"/>
        </w:rPr>
        <w:t>s</w:t>
      </w:r>
      <w:r w:rsidRPr="00366A48">
        <w:rPr>
          <w:rFonts w:ascii="Arial" w:eastAsia="Calibri" w:hAnsi="Arial" w:cs="Arial"/>
          <w:sz w:val="18"/>
          <w:szCs w:val="18"/>
          <w:lang w:val="en-US"/>
        </w:rPr>
        <w:t>:</w:t>
      </w:r>
    </w:p>
    <w:p w14:paraId="639F8936" w14:textId="77777777" w:rsidR="00CA05F7" w:rsidRDefault="00CA05F7" w:rsidP="00366A48">
      <w:pPr>
        <w:widowControl w:val="0"/>
        <w:spacing w:after="0" w:line="240" w:lineRule="auto"/>
        <w:ind w:right="283"/>
        <w:rPr>
          <w:rFonts w:ascii="Arial" w:eastAsia="Calibri" w:hAnsi="Arial" w:cs="Arial"/>
          <w:sz w:val="18"/>
          <w:szCs w:val="18"/>
          <w:lang w:val="en-US"/>
        </w:rPr>
      </w:pPr>
    </w:p>
    <w:p w14:paraId="3A6FDB31" w14:textId="77777777" w:rsidR="00CA05F7" w:rsidRDefault="00CA05F7" w:rsidP="00CA05F7">
      <w:pPr>
        <w:pStyle w:val="ListParagraph"/>
        <w:numPr>
          <w:ilvl w:val="0"/>
          <w:numId w:val="5"/>
        </w:numPr>
        <w:ind w:left="568" w:right="-1" w:hanging="284"/>
        <w:jc w:val="both"/>
        <w:rPr>
          <w:rFonts w:ascii="Arial" w:eastAsia="Calibri" w:hAnsi="Arial" w:cs="Arial"/>
          <w:color w:val="000000" w:themeColor="text1"/>
          <w:sz w:val="18"/>
          <w:szCs w:val="18"/>
          <w:lang w:val="en-US"/>
        </w:rPr>
      </w:pPr>
      <w:r w:rsidRPr="00CF5A69">
        <w:rPr>
          <w:rFonts w:ascii="Arial" w:eastAsia="Calibri" w:hAnsi="Arial" w:cs="Arial"/>
          <w:color w:val="000000" w:themeColor="text1"/>
          <w:sz w:val="18"/>
          <w:szCs w:val="18"/>
          <w:lang w:val="en-US"/>
        </w:rPr>
        <w:t xml:space="preserve">A customer complaint is defined in section </w:t>
      </w:r>
      <w:r w:rsidRPr="00CF5A69">
        <w:rPr>
          <w:rFonts w:ascii="Arial" w:hAnsi="Arial" w:cs="Arial"/>
          <w:color w:val="000000" w:themeColor="text1"/>
          <w:sz w:val="18"/>
          <w:szCs w:val="18"/>
        </w:rPr>
        <w:t>264(</w:t>
      </w:r>
      <w:r>
        <w:rPr>
          <w:rFonts w:ascii="Arial" w:hAnsi="Arial" w:cs="Arial"/>
          <w:color w:val="000000" w:themeColor="text1"/>
          <w:sz w:val="18"/>
          <w:szCs w:val="18"/>
        </w:rPr>
        <w:t>4</w:t>
      </w:r>
      <w:r w:rsidRPr="00CF5A69">
        <w:rPr>
          <w:rFonts w:ascii="Arial" w:hAnsi="Arial" w:cs="Arial"/>
          <w:color w:val="000000" w:themeColor="text1"/>
          <w:sz w:val="18"/>
          <w:szCs w:val="18"/>
        </w:rPr>
        <w:t xml:space="preserve">) of the </w:t>
      </w:r>
      <w:r w:rsidRPr="00CF5A69">
        <w:rPr>
          <w:rFonts w:ascii="Arial" w:hAnsi="Arial" w:cs="Arial"/>
          <w:i/>
          <w:color w:val="000000" w:themeColor="text1"/>
          <w:sz w:val="18"/>
          <w:szCs w:val="18"/>
        </w:rPr>
        <w:t>Public Sector Act 2022</w:t>
      </w:r>
      <w:r w:rsidRPr="00CF5A69">
        <w:rPr>
          <w:rFonts w:ascii="Arial" w:eastAsia="Times New Roman" w:hAnsi="Arial" w:cs="Arial"/>
          <w:i/>
          <w:iCs/>
          <w:color w:val="000000" w:themeColor="text1"/>
          <w:sz w:val="18"/>
          <w:szCs w:val="18"/>
          <w:lang w:eastAsia="en-AU"/>
        </w:rPr>
        <w:t xml:space="preserve"> </w:t>
      </w:r>
      <w:r w:rsidRPr="00CF5A69">
        <w:rPr>
          <w:rFonts w:ascii="Arial" w:eastAsia="Times New Roman" w:hAnsi="Arial" w:cs="Arial"/>
          <w:color w:val="000000" w:themeColor="text1"/>
          <w:sz w:val="18"/>
          <w:szCs w:val="18"/>
          <w:lang w:eastAsia="en-AU"/>
        </w:rPr>
        <w:t>(Qld)</w:t>
      </w:r>
      <w:r w:rsidRPr="00CF5A69">
        <w:rPr>
          <w:rFonts w:ascii="Arial" w:eastAsia="Calibri" w:hAnsi="Arial" w:cs="Arial"/>
          <w:color w:val="000000" w:themeColor="text1"/>
          <w:sz w:val="18"/>
          <w:szCs w:val="18"/>
          <w:lang w:val="en-US"/>
        </w:rPr>
        <w:t>.</w:t>
      </w:r>
    </w:p>
    <w:p w14:paraId="7038CC8D" w14:textId="77777777" w:rsidR="00CA05F7" w:rsidRDefault="00CA05F7" w:rsidP="00CA05F7">
      <w:pPr>
        <w:pStyle w:val="ListParagraph"/>
        <w:numPr>
          <w:ilvl w:val="0"/>
          <w:numId w:val="5"/>
        </w:numPr>
        <w:ind w:left="568" w:right="-1" w:hanging="284"/>
        <w:jc w:val="both"/>
        <w:rPr>
          <w:rFonts w:ascii="Arial" w:eastAsia="Calibri" w:hAnsi="Arial" w:cs="Arial"/>
          <w:color w:val="000000" w:themeColor="text1"/>
          <w:sz w:val="18"/>
          <w:szCs w:val="18"/>
          <w:lang w:val="en-US"/>
        </w:rPr>
      </w:pPr>
      <w:r w:rsidRPr="000B34C7">
        <w:rPr>
          <w:rFonts w:ascii="Arial" w:eastAsia="Calibri" w:hAnsi="Arial" w:cs="Arial"/>
          <w:color w:val="000000" w:themeColor="text1"/>
          <w:sz w:val="18"/>
          <w:szCs w:val="18"/>
          <w:lang w:val="en-US"/>
        </w:rPr>
        <w:t>‘Further action’ is defined as some form of response to the complaint, including an initial assessment</w:t>
      </w:r>
      <w:r>
        <w:rPr>
          <w:rFonts w:ascii="Arial" w:eastAsia="Calibri" w:hAnsi="Arial" w:cs="Arial"/>
          <w:color w:val="000000" w:themeColor="text1"/>
          <w:sz w:val="18"/>
          <w:szCs w:val="18"/>
          <w:lang w:val="en-US"/>
        </w:rPr>
        <w:t xml:space="preserve"> and where a complaint has yet to be assessed</w:t>
      </w:r>
      <w:r w:rsidRPr="000B34C7">
        <w:rPr>
          <w:rFonts w:ascii="Arial" w:eastAsia="Calibri" w:hAnsi="Arial" w:cs="Arial"/>
          <w:color w:val="000000" w:themeColor="text1"/>
          <w:sz w:val="18"/>
          <w:szCs w:val="18"/>
          <w:lang w:val="en-US"/>
        </w:rPr>
        <w:t xml:space="preserve">. A further response may also include gathering details or evidence about the incident, conducting a review of any type, gathering a response from staff, </w:t>
      </w:r>
      <w:r>
        <w:rPr>
          <w:rFonts w:ascii="Arial" w:eastAsia="Calibri" w:hAnsi="Arial" w:cs="Arial"/>
          <w:color w:val="000000" w:themeColor="text1"/>
          <w:sz w:val="18"/>
          <w:szCs w:val="18"/>
          <w:lang w:val="en-US"/>
        </w:rPr>
        <w:t xml:space="preserve">or </w:t>
      </w:r>
      <w:r w:rsidRPr="000B34C7">
        <w:rPr>
          <w:rFonts w:ascii="Arial" w:eastAsia="Calibri" w:hAnsi="Arial" w:cs="Arial"/>
          <w:color w:val="000000" w:themeColor="text1"/>
          <w:sz w:val="18"/>
          <w:szCs w:val="18"/>
          <w:lang w:val="en-US"/>
        </w:rPr>
        <w:t>referral to the service area for appropri</w:t>
      </w:r>
      <w:r>
        <w:rPr>
          <w:rFonts w:ascii="Arial" w:eastAsia="Calibri" w:hAnsi="Arial" w:cs="Arial"/>
          <w:color w:val="000000" w:themeColor="text1"/>
          <w:sz w:val="18"/>
          <w:szCs w:val="18"/>
          <w:lang w:val="en-US"/>
        </w:rPr>
        <w:t>a</w:t>
      </w:r>
      <w:r w:rsidRPr="000B34C7">
        <w:rPr>
          <w:rFonts w:ascii="Arial" w:eastAsia="Calibri" w:hAnsi="Arial" w:cs="Arial"/>
          <w:color w:val="000000" w:themeColor="text1"/>
          <w:sz w:val="18"/>
          <w:szCs w:val="18"/>
          <w:lang w:val="en-US"/>
        </w:rPr>
        <w:t xml:space="preserve">te action. </w:t>
      </w:r>
    </w:p>
    <w:p w14:paraId="4E0C30B0" w14:textId="77777777" w:rsidR="00CA05F7" w:rsidRDefault="00CA05F7" w:rsidP="00CA05F7">
      <w:pPr>
        <w:pStyle w:val="ListParagraph"/>
        <w:numPr>
          <w:ilvl w:val="0"/>
          <w:numId w:val="5"/>
        </w:numPr>
        <w:ind w:left="568" w:right="-1" w:hanging="284"/>
        <w:jc w:val="both"/>
        <w:rPr>
          <w:rFonts w:ascii="Arial" w:eastAsia="Calibri" w:hAnsi="Arial" w:cs="Arial"/>
          <w:color w:val="000000" w:themeColor="text1"/>
          <w:sz w:val="18"/>
          <w:szCs w:val="18"/>
          <w:lang w:val="en-US"/>
        </w:rPr>
      </w:pPr>
      <w:r>
        <w:rPr>
          <w:rFonts w:ascii="Arial" w:eastAsia="Calibri" w:hAnsi="Arial" w:cs="Arial"/>
          <w:color w:val="000000" w:themeColor="text1"/>
          <w:sz w:val="18"/>
          <w:szCs w:val="18"/>
          <w:lang w:val="en-US"/>
        </w:rPr>
        <w:t>‘No further action’ includes when a complainant is provided with further information or advice.</w:t>
      </w:r>
    </w:p>
    <w:p w14:paraId="44B4A654" w14:textId="77777777" w:rsidR="00CA05F7" w:rsidRDefault="00CA05F7" w:rsidP="00CA05F7">
      <w:pPr>
        <w:pStyle w:val="ListParagraph"/>
        <w:numPr>
          <w:ilvl w:val="0"/>
          <w:numId w:val="5"/>
        </w:numPr>
        <w:spacing w:after="0" w:line="240" w:lineRule="auto"/>
        <w:ind w:left="568" w:right="-1" w:hanging="284"/>
        <w:contextualSpacing w:val="0"/>
        <w:jc w:val="both"/>
        <w:rPr>
          <w:rFonts w:ascii="Arial" w:hAnsi="Arial" w:cs="Arial"/>
          <w:sz w:val="18"/>
          <w:szCs w:val="18"/>
        </w:rPr>
      </w:pPr>
      <w:r>
        <w:rPr>
          <w:rFonts w:ascii="Arial" w:hAnsi="Arial" w:cs="Arial"/>
          <w:sz w:val="18"/>
          <w:szCs w:val="18"/>
        </w:rPr>
        <w:t xml:space="preserve">The </w:t>
      </w:r>
      <w:r w:rsidRPr="00BE6FDB">
        <w:rPr>
          <w:rFonts w:ascii="Arial" w:hAnsi="Arial" w:cs="Arial"/>
          <w:sz w:val="18"/>
          <w:szCs w:val="18"/>
        </w:rPr>
        <w:t>department’s Annual Report for 202</w:t>
      </w:r>
      <w:r>
        <w:rPr>
          <w:rFonts w:ascii="Arial" w:hAnsi="Arial" w:cs="Arial"/>
          <w:sz w:val="18"/>
          <w:szCs w:val="18"/>
        </w:rPr>
        <w:t>4</w:t>
      </w:r>
      <w:r w:rsidRPr="00BE6FDB">
        <w:rPr>
          <w:rFonts w:ascii="Arial" w:hAnsi="Arial" w:cs="Arial"/>
          <w:sz w:val="18"/>
          <w:szCs w:val="18"/>
        </w:rPr>
        <w:t>–</w:t>
      </w:r>
      <w:r>
        <w:rPr>
          <w:rFonts w:ascii="Arial" w:hAnsi="Arial" w:cs="Arial"/>
          <w:sz w:val="18"/>
          <w:szCs w:val="18"/>
        </w:rPr>
        <w:t>20</w:t>
      </w:r>
      <w:r w:rsidRPr="00BE6FDB">
        <w:rPr>
          <w:rFonts w:ascii="Arial" w:hAnsi="Arial" w:cs="Arial"/>
          <w:sz w:val="18"/>
          <w:szCs w:val="18"/>
        </w:rPr>
        <w:t>2</w:t>
      </w:r>
      <w:r>
        <w:rPr>
          <w:rFonts w:ascii="Arial" w:hAnsi="Arial" w:cs="Arial"/>
          <w:sz w:val="18"/>
          <w:szCs w:val="18"/>
        </w:rPr>
        <w:t>5</w:t>
      </w:r>
      <w:r w:rsidRPr="00BE6FDB">
        <w:rPr>
          <w:rFonts w:ascii="Arial" w:hAnsi="Arial" w:cs="Arial"/>
          <w:sz w:val="18"/>
          <w:szCs w:val="18"/>
        </w:rPr>
        <w:t xml:space="preserve"> states that there </w:t>
      </w:r>
      <w:r w:rsidRPr="00A8441A">
        <w:rPr>
          <w:rFonts w:ascii="Arial" w:hAnsi="Arial" w:cs="Arial"/>
          <w:sz w:val="18"/>
          <w:szCs w:val="18"/>
        </w:rPr>
        <w:t>were no customer complaints that were identified</w:t>
      </w:r>
      <w:r w:rsidRPr="00BE6FDB">
        <w:rPr>
          <w:rFonts w:ascii="Arial" w:hAnsi="Arial" w:cs="Arial"/>
          <w:sz w:val="18"/>
          <w:szCs w:val="18"/>
        </w:rPr>
        <w:t xml:space="preserve"> to have engaged human rights during the financial year (</w:t>
      </w:r>
      <w:r w:rsidRPr="00DB66D2">
        <w:rPr>
          <w:rFonts w:ascii="Arial" w:hAnsi="Arial" w:cs="Arial"/>
          <w:sz w:val="18"/>
          <w:szCs w:val="18"/>
        </w:rPr>
        <w:t>page 29,</w:t>
      </w:r>
      <w:r w:rsidRPr="00BE6FDB">
        <w:rPr>
          <w:rFonts w:ascii="Arial" w:hAnsi="Arial" w:cs="Arial"/>
          <w:sz w:val="18"/>
          <w:szCs w:val="18"/>
        </w:rPr>
        <w:t xml:space="preserve"> D</w:t>
      </w:r>
      <w:r>
        <w:rPr>
          <w:rFonts w:ascii="Arial" w:hAnsi="Arial" w:cs="Arial"/>
          <w:sz w:val="18"/>
          <w:szCs w:val="18"/>
        </w:rPr>
        <w:t>WATSIPM</w:t>
      </w:r>
      <w:r w:rsidRPr="00BE6FDB">
        <w:rPr>
          <w:rFonts w:ascii="Arial" w:hAnsi="Arial" w:cs="Arial"/>
          <w:sz w:val="18"/>
          <w:szCs w:val="18"/>
        </w:rPr>
        <w:t xml:space="preserve"> 202</w:t>
      </w:r>
      <w:r>
        <w:rPr>
          <w:rFonts w:ascii="Arial" w:hAnsi="Arial" w:cs="Arial"/>
          <w:sz w:val="18"/>
          <w:szCs w:val="18"/>
        </w:rPr>
        <w:t>4</w:t>
      </w:r>
      <w:r w:rsidRPr="00BE6FDB">
        <w:rPr>
          <w:rFonts w:ascii="Arial" w:hAnsi="Arial" w:cs="Arial"/>
          <w:sz w:val="18"/>
          <w:szCs w:val="18"/>
        </w:rPr>
        <w:t>–</w:t>
      </w:r>
      <w:r>
        <w:rPr>
          <w:rFonts w:ascii="Arial" w:hAnsi="Arial" w:cs="Arial"/>
          <w:sz w:val="18"/>
          <w:szCs w:val="18"/>
        </w:rPr>
        <w:t>20</w:t>
      </w:r>
      <w:r w:rsidRPr="00BE6FDB">
        <w:rPr>
          <w:rFonts w:ascii="Arial" w:hAnsi="Arial" w:cs="Arial"/>
          <w:sz w:val="18"/>
          <w:szCs w:val="18"/>
        </w:rPr>
        <w:t>2</w:t>
      </w:r>
      <w:r>
        <w:rPr>
          <w:rFonts w:ascii="Arial" w:hAnsi="Arial" w:cs="Arial"/>
          <w:sz w:val="18"/>
          <w:szCs w:val="18"/>
        </w:rPr>
        <w:t>5</w:t>
      </w:r>
      <w:r w:rsidRPr="00BE6FDB">
        <w:rPr>
          <w:rFonts w:ascii="Arial" w:hAnsi="Arial" w:cs="Arial"/>
          <w:sz w:val="18"/>
          <w:szCs w:val="18"/>
        </w:rPr>
        <w:t xml:space="preserve"> Annual Report).</w:t>
      </w:r>
    </w:p>
    <w:p w14:paraId="615DCEE9" w14:textId="77777777" w:rsidR="00CA05F7" w:rsidRPr="00A8441A" w:rsidRDefault="00CA05F7" w:rsidP="00CA05F7">
      <w:pPr>
        <w:pStyle w:val="ListParagraph"/>
        <w:numPr>
          <w:ilvl w:val="0"/>
          <w:numId w:val="5"/>
        </w:numPr>
        <w:spacing w:after="0" w:line="240" w:lineRule="auto"/>
        <w:ind w:left="568" w:right="-1" w:hanging="284"/>
        <w:contextualSpacing w:val="0"/>
        <w:jc w:val="both"/>
        <w:rPr>
          <w:rFonts w:ascii="Arial" w:hAnsi="Arial" w:cs="Arial"/>
          <w:sz w:val="18"/>
          <w:szCs w:val="18"/>
        </w:rPr>
      </w:pPr>
      <w:r w:rsidRPr="00F4052E">
        <w:rPr>
          <w:rFonts w:ascii="Arial" w:hAnsi="Arial" w:cs="Arial"/>
          <w:color w:val="414141"/>
          <w:sz w:val="18"/>
          <w:szCs w:val="18"/>
          <w:shd w:val="clear" w:color="auto" w:fill="FFFFFF"/>
        </w:rPr>
        <w:t>Under the</w:t>
      </w:r>
      <w:r>
        <w:rPr>
          <w:rFonts w:ascii="Arial" w:hAnsi="Arial" w:cs="Arial"/>
          <w:color w:val="414141"/>
          <w:sz w:val="18"/>
          <w:szCs w:val="18"/>
          <w:shd w:val="clear" w:color="auto" w:fill="FFFFFF"/>
        </w:rPr>
        <w:t xml:space="preserve"> </w:t>
      </w:r>
      <w:r w:rsidRPr="00F4052E">
        <w:rPr>
          <w:rStyle w:val="Emphasis"/>
          <w:rFonts w:ascii="Arial" w:hAnsi="Arial" w:cs="Arial"/>
          <w:color w:val="414141"/>
          <w:sz w:val="18"/>
          <w:szCs w:val="18"/>
          <w:shd w:val="clear" w:color="auto" w:fill="FFFFFF"/>
        </w:rPr>
        <w:t>Victims’ Commissioner and Sexual Violence Review Board Act 2024</w:t>
      </w:r>
      <w:r w:rsidRPr="00F4052E">
        <w:rPr>
          <w:rFonts w:ascii="Arial" w:hAnsi="Arial" w:cs="Arial"/>
          <w:color w:val="414141"/>
          <w:sz w:val="18"/>
          <w:szCs w:val="18"/>
          <w:shd w:val="clear" w:color="auto" w:fill="FFFFFF"/>
        </w:rPr>
        <w:t xml:space="preserve">, all Queensland Government entities are required to include information in their annual reports on complaints </w:t>
      </w:r>
      <w:r>
        <w:rPr>
          <w:rFonts w:ascii="Arial" w:hAnsi="Arial" w:cs="Arial"/>
          <w:color w:val="414141"/>
          <w:sz w:val="18"/>
          <w:szCs w:val="18"/>
          <w:shd w:val="clear" w:color="auto" w:fill="FFFFFF"/>
        </w:rPr>
        <w:t xml:space="preserve">that </w:t>
      </w:r>
      <w:r w:rsidRPr="00A8441A">
        <w:rPr>
          <w:rFonts w:ascii="Arial" w:hAnsi="Arial" w:cs="Arial"/>
          <w:color w:val="414141"/>
          <w:sz w:val="18"/>
          <w:szCs w:val="18"/>
          <w:shd w:val="clear" w:color="auto" w:fill="FFFFFF"/>
        </w:rPr>
        <w:t>the entity has received relating to the Charter of Victims’ Rights. The department’s 2024</w:t>
      </w:r>
      <w:r w:rsidRPr="00A8441A">
        <w:rPr>
          <w:rFonts w:ascii="Arial" w:hAnsi="Arial" w:cs="Arial"/>
          <w:sz w:val="18"/>
          <w:szCs w:val="18"/>
        </w:rPr>
        <w:t>–20</w:t>
      </w:r>
      <w:r w:rsidRPr="00A8441A">
        <w:rPr>
          <w:rFonts w:ascii="Arial" w:hAnsi="Arial" w:cs="Arial"/>
          <w:color w:val="414141"/>
          <w:sz w:val="18"/>
          <w:szCs w:val="18"/>
          <w:shd w:val="clear" w:color="auto" w:fill="FFFFFF"/>
        </w:rPr>
        <w:t xml:space="preserve">25 Annual Report states that there were no complaints identified as Charter of Victims’ Rights complaints during the reporting period </w:t>
      </w:r>
      <w:r w:rsidRPr="00A8441A">
        <w:rPr>
          <w:rFonts w:ascii="Arial" w:hAnsi="Arial" w:cs="Arial"/>
          <w:sz w:val="18"/>
          <w:szCs w:val="18"/>
        </w:rPr>
        <w:t xml:space="preserve">(page </w:t>
      </w:r>
      <w:r w:rsidRPr="00DB66D2">
        <w:rPr>
          <w:rFonts w:ascii="Arial" w:hAnsi="Arial" w:cs="Arial"/>
          <w:sz w:val="18"/>
          <w:szCs w:val="18"/>
        </w:rPr>
        <w:t>29,</w:t>
      </w:r>
      <w:r w:rsidRPr="00A8441A">
        <w:rPr>
          <w:rFonts w:ascii="Arial" w:hAnsi="Arial" w:cs="Arial"/>
          <w:sz w:val="18"/>
          <w:szCs w:val="18"/>
        </w:rPr>
        <w:t xml:space="preserve"> DWATSIPM 2024–2025 Annual Report).</w:t>
      </w:r>
    </w:p>
    <w:p w14:paraId="47F27521" w14:textId="77777777" w:rsidR="00CA05F7" w:rsidRDefault="00CA05F7" w:rsidP="00366A48">
      <w:pPr>
        <w:widowControl w:val="0"/>
        <w:spacing w:after="0" w:line="240" w:lineRule="auto"/>
        <w:ind w:right="283"/>
        <w:rPr>
          <w:rFonts w:ascii="Arial" w:eastAsia="Calibri" w:hAnsi="Arial" w:cs="Arial"/>
          <w:sz w:val="18"/>
          <w:szCs w:val="18"/>
          <w:lang w:val="en-US"/>
        </w:rPr>
      </w:pPr>
    </w:p>
    <w:sectPr w:rsidR="00CA05F7" w:rsidSect="00CA05F7">
      <w:headerReference w:type="even" r:id="rId7"/>
      <w:headerReference w:type="default" r:id="rId8"/>
      <w:footerReference w:type="even" r:id="rId9"/>
      <w:footerReference w:type="default" r:id="rId10"/>
      <w:headerReference w:type="first" r:id="rId11"/>
      <w:footerReference w:type="first" r:id="rId12"/>
      <w:pgSz w:w="11906" w:h="16838"/>
      <w:pgMar w:top="1134" w:right="991"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C1F44" w14:textId="77777777" w:rsidR="00030399" w:rsidRDefault="00030399">
      <w:pPr>
        <w:spacing w:after="0" w:line="240" w:lineRule="auto"/>
      </w:pPr>
      <w:r>
        <w:separator/>
      </w:r>
    </w:p>
  </w:endnote>
  <w:endnote w:type="continuationSeparator" w:id="0">
    <w:p w14:paraId="438CF343" w14:textId="77777777" w:rsidR="00030399" w:rsidRDefault="00030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8107" w14:textId="77777777" w:rsidR="007F3889" w:rsidRDefault="007F3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0B6E" w14:textId="77777777" w:rsidR="007F3889" w:rsidRDefault="007F3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C1E5" w14:textId="77777777" w:rsidR="007F3889" w:rsidRDefault="007F3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8A69" w14:textId="77777777" w:rsidR="00030399" w:rsidRDefault="00030399">
      <w:pPr>
        <w:spacing w:after="0" w:line="240" w:lineRule="auto"/>
      </w:pPr>
      <w:r>
        <w:separator/>
      </w:r>
    </w:p>
  </w:footnote>
  <w:footnote w:type="continuationSeparator" w:id="0">
    <w:p w14:paraId="19D7B2F0" w14:textId="77777777" w:rsidR="00030399" w:rsidRDefault="00030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B10C" w14:textId="77777777" w:rsidR="007F3889" w:rsidRDefault="007F3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D789" w14:textId="77777777" w:rsidR="0099545E" w:rsidRPr="007F3889" w:rsidRDefault="0099545E" w:rsidP="007F3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2A23" w14:textId="77777777" w:rsidR="007F3889" w:rsidRDefault="007F3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5473E"/>
    <w:multiLevelType w:val="hybridMultilevel"/>
    <w:tmpl w:val="9DE4A626"/>
    <w:lvl w:ilvl="0" w:tplc="57F27C0C">
      <w:start w:val="1"/>
      <w:numFmt w:val="bullet"/>
      <w:lvlText w:val=""/>
      <w:lvlJc w:val="left"/>
      <w:pPr>
        <w:tabs>
          <w:tab w:val="num" w:pos="360"/>
        </w:tabs>
        <w:ind w:left="360" w:hanging="360"/>
      </w:pPr>
      <w:rPr>
        <w:rFonts w:ascii="Symbol" w:hAnsi="Symbol" w:hint="default"/>
        <w:sz w:val="22"/>
      </w:rPr>
    </w:lvl>
    <w:lvl w:ilvl="1" w:tplc="3886DB92">
      <w:start w:val="1"/>
      <w:numFmt w:val="bullet"/>
      <w:lvlText w:val=""/>
      <w:lvlJc w:val="left"/>
      <w:pPr>
        <w:tabs>
          <w:tab w:val="num" w:pos="700"/>
        </w:tabs>
        <w:ind w:left="700" w:hanging="340"/>
      </w:pPr>
      <w:rPr>
        <w:rFonts w:ascii="Symbol" w:hAnsi="Symbol" w:hint="default"/>
        <w:color w:val="auto"/>
        <w:sz w:val="20"/>
        <w:szCs w:val="20"/>
      </w:rPr>
    </w:lvl>
    <w:lvl w:ilvl="2" w:tplc="28ACB7B6">
      <w:start w:val="1"/>
      <w:numFmt w:val="lowerRoman"/>
      <w:lvlText w:val="%3."/>
      <w:lvlJc w:val="right"/>
      <w:pPr>
        <w:tabs>
          <w:tab w:val="num" w:pos="1440"/>
        </w:tabs>
        <w:ind w:left="1440" w:hanging="180"/>
      </w:pPr>
    </w:lvl>
    <w:lvl w:ilvl="3" w:tplc="633A3F94" w:tentative="1">
      <w:start w:val="1"/>
      <w:numFmt w:val="decimal"/>
      <w:lvlText w:val="%4."/>
      <w:lvlJc w:val="left"/>
      <w:pPr>
        <w:tabs>
          <w:tab w:val="num" w:pos="2160"/>
        </w:tabs>
        <w:ind w:left="2160" w:hanging="360"/>
      </w:pPr>
    </w:lvl>
    <w:lvl w:ilvl="4" w:tplc="9FF60842" w:tentative="1">
      <w:start w:val="1"/>
      <w:numFmt w:val="lowerLetter"/>
      <w:lvlText w:val="%5."/>
      <w:lvlJc w:val="left"/>
      <w:pPr>
        <w:tabs>
          <w:tab w:val="num" w:pos="2880"/>
        </w:tabs>
        <w:ind w:left="2880" w:hanging="360"/>
      </w:pPr>
    </w:lvl>
    <w:lvl w:ilvl="5" w:tplc="316E9480" w:tentative="1">
      <w:start w:val="1"/>
      <w:numFmt w:val="lowerRoman"/>
      <w:lvlText w:val="%6."/>
      <w:lvlJc w:val="right"/>
      <w:pPr>
        <w:tabs>
          <w:tab w:val="num" w:pos="3600"/>
        </w:tabs>
        <w:ind w:left="3600" w:hanging="180"/>
      </w:pPr>
    </w:lvl>
    <w:lvl w:ilvl="6" w:tplc="75280314" w:tentative="1">
      <w:start w:val="1"/>
      <w:numFmt w:val="decimal"/>
      <w:lvlText w:val="%7."/>
      <w:lvlJc w:val="left"/>
      <w:pPr>
        <w:tabs>
          <w:tab w:val="num" w:pos="4320"/>
        </w:tabs>
        <w:ind w:left="4320" w:hanging="360"/>
      </w:pPr>
    </w:lvl>
    <w:lvl w:ilvl="7" w:tplc="836ADC54" w:tentative="1">
      <w:start w:val="1"/>
      <w:numFmt w:val="lowerLetter"/>
      <w:lvlText w:val="%8."/>
      <w:lvlJc w:val="left"/>
      <w:pPr>
        <w:tabs>
          <w:tab w:val="num" w:pos="5040"/>
        </w:tabs>
        <w:ind w:left="5040" w:hanging="360"/>
      </w:pPr>
    </w:lvl>
    <w:lvl w:ilvl="8" w:tplc="FB44FA62" w:tentative="1">
      <w:start w:val="1"/>
      <w:numFmt w:val="lowerRoman"/>
      <w:lvlText w:val="%9."/>
      <w:lvlJc w:val="right"/>
      <w:pPr>
        <w:tabs>
          <w:tab w:val="num" w:pos="5760"/>
        </w:tabs>
        <w:ind w:left="5760" w:hanging="180"/>
      </w:pPr>
    </w:lvl>
  </w:abstractNum>
  <w:abstractNum w:abstractNumId="1" w15:restartNumberingAfterBreak="0">
    <w:nsid w:val="48215EA2"/>
    <w:multiLevelType w:val="hybridMultilevel"/>
    <w:tmpl w:val="F9026BA2"/>
    <w:lvl w:ilvl="0" w:tplc="A9F8FBF8">
      <w:start w:val="1"/>
      <w:numFmt w:val="decimal"/>
      <w:lvlText w:val="%1."/>
      <w:lvlJc w:val="left"/>
      <w:pPr>
        <w:ind w:left="720" w:hanging="360"/>
      </w:pPr>
      <w:rPr>
        <w:rFonts w:ascii="Arial" w:hAnsi="Arial" w:hint="default"/>
        <w:b w:val="0"/>
        <w:i w:val="0"/>
        <w:sz w:val="18"/>
      </w:rPr>
    </w:lvl>
    <w:lvl w:ilvl="1" w:tplc="11126170" w:tentative="1">
      <w:start w:val="1"/>
      <w:numFmt w:val="lowerLetter"/>
      <w:lvlText w:val="%2."/>
      <w:lvlJc w:val="left"/>
      <w:pPr>
        <w:ind w:left="1440" w:hanging="360"/>
      </w:pPr>
    </w:lvl>
    <w:lvl w:ilvl="2" w:tplc="7BF83A58" w:tentative="1">
      <w:start w:val="1"/>
      <w:numFmt w:val="lowerRoman"/>
      <w:lvlText w:val="%3."/>
      <w:lvlJc w:val="right"/>
      <w:pPr>
        <w:ind w:left="2160" w:hanging="180"/>
      </w:pPr>
    </w:lvl>
    <w:lvl w:ilvl="3" w:tplc="D5525B18" w:tentative="1">
      <w:start w:val="1"/>
      <w:numFmt w:val="decimal"/>
      <w:lvlText w:val="%4."/>
      <w:lvlJc w:val="left"/>
      <w:pPr>
        <w:ind w:left="2880" w:hanging="360"/>
      </w:pPr>
    </w:lvl>
    <w:lvl w:ilvl="4" w:tplc="1806107C" w:tentative="1">
      <w:start w:val="1"/>
      <w:numFmt w:val="lowerLetter"/>
      <w:lvlText w:val="%5."/>
      <w:lvlJc w:val="left"/>
      <w:pPr>
        <w:ind w:left="3600" w:hanging="360"/>
      </w:pPr>
    </w:lvl>
    <w:lvl w:ilvl="5" w:tplc="D242B8B4" w:tentative="1">
      <w:start w:val="1"/>
      <w:numFmt w:val="lowerRoman"/>
      <w:lvlText w:val="%6."/>
      <w:lvlJc w:val="right"/>
      <w:pPr>
        <w:ind w:left="4320" w:hanging="180"/>
      </w:pPr>
    </w:lvl>
    <w:lvl w:ilvl="6" w:tplc="73E6D02A" w:tentative="1">
      <w:start w:val="1"/>
      <w:numFmt w:val="decimal"/>
      <w:lvlText w:val="%7."/>
      <w:lvlJc w:val="left"/>
      <w:pPr>
        <w:ind w:left="5040" w:hanging="360"/>
      </w:pPr>
    </w:lvl>
    <w:lvl w:ilvl="7" w:tplc="72A8FA76" w:tentative="1">
      <w:start w:val="1"/>
      <w:numFmt w:val="lowerLetter"/>
      <w:lvlText w:val="%8."/>
      <w:lvlJc w:val="left"/>
      <w:pPr>
        <w:ind w:left="5760" w:hanging="360"/>
      </w:pPr>
    </w:lvl>
    <w:lvl w:ilvl="8" w:tplc="2418040E" w:tentative="1">
      <w:start w:val="1"/>
      <w:numFmt w:val="lowerRoman"/>
      <w:lvlText w:val="%9."/>
      <w:lvlJc w:val="right"/>
      <w:pPr>
        <w:ind w:left="6480" w:hanging="180"/>
      </w:pPr>
    </w:lvl>
  </w:abstractNum>
  <w:abstractNum w:abstractNumId="2" w15:restartNumberingAfterBreak="0">
    <w:nsid w:val="5BA63AAE"/>
    <w:multiLevelType w:val="hybridMultilevel"/>
    <w:tmpl w:val="79BA5210"/>
    <w:lvl w:ilvl="0" w:tplc="1ACC663E">
      <w:start w:val="1"/>
      <w:numFmt w:val="decimal"/>
      <w:lvlText w:val="%1."/>
      <w:lvlJc w:val="left"/>
      <w:pPr>
        <w:ind w:hanging="360"/>
      </w:pPr>
      <w:rPr>
        <w:rFonts w:ascii="Calibri" w:hAnsi="Calibri" w:hint="default"/>
        <w:sz w:val="18"/>
        <w:szCs w:val="22"/>
      </w:rPr>
    </w:lvl>
    <w:lvl w:ilvl="1" w:tplc="EFD0886E">
      <w:start w:val="1"/>
      <w:numFmt w:val="bullet"/>
      <w:lvlText w:val="•"/>
      <w:lvlJc w:val="left"/>
      <w:rPr>
        <w:rFonts w:hint="default"/>
      </w:rPr>
    </w:lvl>
    <w:lvl w:ilvl="2" w:tplc="5B043732">
      <w:start w:val="1"/>
      <w:numFmt w:val="bullet"/>
      <w:lvlText w:val="•"/>
      <w:lvlJc w:val="left"/>
      <w:rPr>
        <w:rFonts w:hint="default"/>
      </w:rPr>
    </w:lvl>
    <w:lvl w:ilvl="3" w:tplc="E47CE404">
      <w:start w:val="1"/>
      <w:numFmt w:val="bullet"/>
      <w:lvlText w:val="•"/>
      <w:lvlJc w:val="left"/>
      <w:rPr>
        <w:rFonts w:hint="default"/>
      </w:rPr>
    </w:lvl>
    <w:lvl w:ilvl="4" w:tplc="09DA75EA">
      <w:start w:val="1"/>
      <w:numFmt w:val="bullet"/>
      <w:lvlText w:val="•"/>
      <w:lvlJc w:val="left"/>
      <w:rPr>
        <w:rFonts w:hint="default"/>
      </w:rPr>
    </w:lvl>
    <w:lvl w:ilvl="5" w:tplc="1F848FF0">
      <w:start w:val="1"/>
      <w:numFmt w:val="bullet"/>
      <w:lvlText w:val="•"/>
      <w:lvlJc w:val="left"/>
      <w:rPr>
        <w:rFonts w:hint="default"/>
      </w:rPr>
    </w:lvl>
    <w:lvl w:ilvl="6" w:tplc="6F20B1E8">
      <w:start w:val="1"/>
      <w:numFmt w:val="bullet"/>
      <w:lvlText w:val="•"/>
      <w:lvlJc w:val="left"/>
      <w:rPr>
        <w:rFonts w:hint="default"/>
      </w:rPr>
    </w:lvl>
    <w:lvl w:ilvl="7" w:tplc="8A5A0772">
      <w:start w:val="1"/>
      <w:numFmt w:val="bullet"/>
      <w:lvlText w:val="•"/>
      <w:lvlJc w:val="left"/>
      <w:rPr>
        <w:rFonts w:hint="default"/>
      </w:rPr>
    </w:lvl>
    <w:lvl w:ilvl="8" w:tplc="F2A2E1E4">
      <w:start w:val="1"/>
      <w:numFmt w:val="bullet"/>
      <w:lvlText w:val="•"/>
      <w:lvlJc w:val="left"/>
      <w:rPr>
        <w:rFonts w:hint="default"/>
      </w:rPr>
    </w:lvl>
  </w:abstractNum>
  <w:abstractNum w:abstractNumId="3" w15:restartNumberingAfterBreak="0">
    <w:nsid w:val="7E30400E"/>
    <w:multiLevelType w:val="hybridMultilevel"/>
    <w:tmpl w:val="406C009E"/>
    <w:lvl w:ilvl="0" w:tplc="349A5324">
      <w:start w:val="1"/>
      <w:numFmt w:val="bullet"/>
      <w:lvlText w:val=""/>
      <w:lvlJc w:val="left"/>
      <w:pPr>
        <w:ind w:hanging="362"/>
      </w:pPr>
      <w:rPr>
        <w:rFonts w:ascii="Symbol" w:eastAsia="Symbol" w:hAnsi="Symbol" w:hint="default"/>
        <w:sz w:val="22"/>
        <w:szCs w:val="22"/>
      </w:rPr>
    </w:lvl>
    <w:lvl w:ilvl="1" w:tplc="E29AD318">
      <w:start w:val="1"/>
      <w:numFmt w:val="bullet"/>
      <w:lvlText w:val="•"/>
      <w:lvlJc w:val="left"/>
      <w:rPr>
        <w:rFonts w:hint="default"/>
      </w:rPr>
    </w:lvl>
    <w:lvl w:ilvl="2" w:tplc="C152E8FC">
      <w:start w:val="1"/>
      <w:numFmt w:val="bullet"/>
      <w:lvlText w:val="•"/>
      <w:lvlJc w:val="left"/>
      <w:rPr>
        <w:rFonts w:hint="default"/>
      </w:rPr>
    </w:lvl>
    <w:lvl w:ilvl="3" w:tplc="ABB00DE0">
      <w:start w:val="1"/>
      <w:numFmt w:val="bullet"/>
      <w:lvlText w:val="•"/>
      <w:lvlJc w:val="left"/>
      <w:rPr>
        <w:rFonts w:hint="default"/>
      </w:rPr>
    </w:lvl>
    <w:lvl w:ilvl="4" w:tplc="C7D60338">
      <w:start w:val="1"/>
      <w:numFmt w:val="bullet"/>
      <w:lvlText w:val="•"/>
      <w:lvlJc w:val="left"/>
      <w:rPr>
        <w:rFonts w:hint="default"/>
      </w:rPr>
    </w:lvl>
    <w:lvl w:ilvl="5" w:tplc="C238629A">
      <w:start w:val="1"/>
      <w:numFmt w:val="bullet"/>
      <w:lvlText w:val="•"/>
      <w:lvlJc w:val="left"/>
      <w:rPr>
        <w:rFonts w:hint="default"/>
      </w:rPr>
    </w:lvl>
    <w:lvl w:ilvl="6" w:tplc="454CECE4">
      <w:start w:val="1"/>
      <w:numFmt w:val="bullet"/>
      <w:lvlText w:val="•"/>
      <w:lvlJc w:val="left"/>
      <w:rPr>
        <w:rFonts w:hint="default"/>
      </w:rPr>
    </w:lvl>
    <w:lvl w:ilvl="7" w:tplc="9E245B4E">
      <w:start w:val="1"/>
      <w:numFmt w:val="bullet"/>
      <w:lvlText w:val="•"/>
      <w:lvlJc w:val="left"/>
      <w:rPr>
        <w:rFonts w:hint="default"/>
      </w:rPr>
    </w:lvl>
    <w:lvl w:ilvl="8" w:tplc="3694539A">
      <w:start w:val="1"/>
      <w:numFmt w:val="bullet"/>
      <w:lvlText w:val="•"/>
      <w:lvlJc w:val="left"/>
      <w:rPr>
        <w:rFonts w:hint="default"/>
      </w:rPr>
    </w:lvl>
  </w:abstractNum>
  <w:num w:numId="1" w16cid:durableId="15931150">
    <w:abstractNumId w:val="3"/>
  </w:num>
  <w:num w:numId="2" w16cid:durableId="97725558">
    <w:abstractNumId w:val="2"/>
  </w:num>
  <w:num w:numId="3" w16cid:durableId="5374545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4471102">
    <w:abstractNumId w:val="0"/>
  </w:num>
  <w:num w:numId="5" w16cid:durableId="2008748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93"/>
    <w:rsid w:val="0000345F"/>
    <w:rsid w:val="00015B9A"/>
    <w:rsid w:val="00030399"/>
    <w:rsid w:val="0008584F"/>
    <w:rsid w:val="000B34C7"/>
    <w:rsid w:val="0011536A"/>
    <w:rsid w:val="001603A5"/>
    <w:rsid w:val="001E0806"/>
    <w:rsid w:val="002268EE"/>
    <w:rsid w:val="00251BCF"/>
    <w:rsid w:val="00255FE7"/>
    <w:rsid w:val="00275AA4"/>
    <w:rsid w:val="002A4A5E"/>
    <w:rsid w:val="002F766B"/>
    <w:rsid w:val="00320801"/>
    <w:rsid w:val="00366A48"/>
    <w:rsid w:val="0041030E"/>
    <w:rsid w:val="00420294"/>
    <w:rsid w:val="00430DCA"/>
    <w:rsid w:val="004D6FB2"/>
    <w:rsid w:val="00513240"/>
    <w:rsid w:val="00591E11"/>
    <w:rsid w:val="00603DC0"/>
    <w:rsid w:val="00630128"/>
    <w:rsid w:val="006B5DB6"/>
    <w:rsid w:val="006D0668"/>
    <w:rsid w:val="006F0D93"/>
    <w:rsid w:val="006F228C"/>
    <w:rsid w:val="00724902"/>
    <w:rsid w:val="007A3EEC"/>
    <w:rsid w:val="007F3889"/>
    <w:rsid w:val="008469D7"/>
    <w:rsid w:val="00884B98"/>
    <w:rsid w:val="00904996"/>
    <w:rsid w:val="0096792F"/>
    <w:rsid w:val="0099545E"/>
    <w:rsid w:val="00A746FF"/>
    <w:rsid w:val="00B51EAF"/>
    <w:rsid w:val="00B65683"/>
    <w:rsid w:val="00BA587B"/>
    <w:rsid w:val="00BD2E45"/>
    <w:rsid w:val="00BE6FDB"/>
    <w:rsid w:val="00C75A17"/>
    <w:rsid w:val="00CA05F7"/>
    <w:rsid w:val="00CC589E"/>
    <w:rsid w:val="00CC62A4"/>
    <w:rsid w:val="00CF5A69"/>
    <w:rsid w:val="00D3534D"/>
    <w:rsid w:val="00D9770A"/>
    <w:rsid w:val="00DB66D2"/>
    <w:rsid w:val="00E12276"/>
    <w:rsid w:val="00E24696"/>
    <w:rsid w:val="00E27CBF"/>
    <w:rsid w:val="00E3054D"/>
    <w:rsid w:val="00E8415E"/>
    <w:rsid w:val="00ED3A74"/>
    <w:rsid w:val="00EF4E47"/>
    <w:rsid w:val="00F4052E"/>
    <w:rsid w:val="00FD4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B3F1"/>
  <w15:chartTrackingRefBased/>
  <w15:docId w15:val="{740A4B8D-08EA-4752-94C9-3011CDF5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6F0D93"/>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0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E12276"/>
  </w:style>
  <w:style w:type="paragraph" w:styleId="ListParagraph">
    <w:name w:val="List Paragraph"/>
    <w:aliases w:val="Bullet Points,Bullet-sub-body,Bulletr List Paragraph,Figure_name,FooterText,List Paragraph1,List Paragraph11,List Paragraph2,List Paragraph21,Listeafsnit1,NFP GP Bulleted List,Paragraphe de liste1,Recommendation,numbered,リスト段落1,列出段落,列出段落1"/>
    <w:basedOn w:val="Normal"/>
    <w:link w:val="ListParagraphChar"/>
    <w:uiPriority w:val="34"/>
    <w:qFormat/>
    <w:rsid w:val="00E12276"/>
    <w:pPr>
      <w:ind w:left="720"/>
      <w:contextualSpacing/>
    </w:pPr>
  </w:style>
  <w:style w:type="character" w:customStyle="1" w:styleId="ListParagraphChar">
    <w:name w:val="List Paragraph Char"/>
    <w:aliases w:val="Bullet Points Char,Bullet-sub-body Char,Bulletr List Paragraph Char,Figure_name Char,FooterText Char,List Paragraph1 Char,List Paragraph11 Char,List Paragraph2 Char,List Paragraph21 Char,Listeafsnit1 Char,NFP GP Bulleted List Char"/>
    <w:basedOn w:val="DefaultParagraphFont"/>
    <w:link w:val="ListParagraph"/>
    <w:uiPriority w:val="34"/>
    <w:locked/>
    <w:rsid w:val="00BE6FDB"/>
  </w:style>
  <w:style w:type="paragraph" w:styleId="Header">
    <w:name w:val="header"/>
    <w:basedOn w:val="Normal"/>
    <w:link w:val="HeaderChar"/>
    <w:uiPriority w:val="99"/>
    <w:unhideWhenUsed/>
    <w:rsid w:val="009954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45E"/>
  </w:style>
  <w:style w:type="paragraph" w:styleId="Footer">
    <w:name w:val="footer"/>
    <w:basedOn w:val="Normal"/>
    <w:link w:val="FooterChar"/>
    <w:uiPriority w:val="99"/>
    <w:unhideWhenUsed/>
    <w:rsid w:val="009954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45E"/>
  </w:style>
  <w:style w:type="character" w:styleId="Emphasis">
    <w:name w:val="Emphasis"/>
    <w:basedOn w:val="DefaultParagraphFont"/>
    <w:uiPriority w:val="20"/>
    <w:qFormat/>
    <w:rsid w:val="00F405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Customer Complaint Data Report: 2024–2025</vt:lpstr>
    </vt:vector>
  </TitlesOfParts>
  <Company>Departement of Treaty, Aboriginal and Torres Strait Islander Partnerships, Communiites and the Arts</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Complaint Data Report: 2024–2025</dc:title>
  <dc:subject>The Department of Women, Aboriginal and Torres Strait Islander Partnerships and Multiculturalism is required to report annually on customer complaints to ensure compliance with section 264(3) of the Public Sector Act 2022 (Qld).</dc:subject>
  <dc:creator>Queensland Government</dc:creator>
  <cp:keywords>Complaints Data 2023-2024; Complaints Data; Complaints Data 2023-24</cp:keywords>
  <cp:lastModifiedBy>Madolline Gourley</cp:lastModifiedBy>
  <cp:revision>2</cp:revision>
  <dcterms:created xsi:type="dcterms:W3CDTF">2025-09-30T22:05:00Z</dcterms:created>
  <dcterms:modified xsi:type="dcterms:W3CDTF">2025-09-30T22:05:00Z</dcterms:modified>
</cp:coreProperties>
</file>